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Havas Media dla Skarbnicy Narodowej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Rozpoczęła się jesienna odsłona kampanii Skarbnicy Narodowej. Za zaplanowanie i zakup mediów biorących udział w akcji promocyjnej odpowiedzialny jest dom mediowy Havas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tygodniu ruszyła nowa, jesienna kampania promująca ofertę Skarbnicy Narodowej. Obejmuje ona wyjątkowe, limitowane edycje (po 25 000 sztuk) monet i medali: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uszlachetniona czystym srebrem moneta „Jezu Ufam Tobie”, </w:t>
      </w:r>
    </w:p>
    <w:p>
      <w:r>
        <w:rPr>
          <w:rFonts w:ascii="calibri" w:hAnsi="calibri" w:eastAsia="calibri" w:cs="calibri"/>
          <w:sz w:val="24"/>
          <w:szCs w:val="24"/>
        </w:rPr>
        <w:t xml:space="preserve">* platerowane złotem medale: „Chrzest Polski”, „Ojcowie Polskiej Niepodległości” oraz wybity z czystego srebra medal „Polonia”.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Kampania obejmuje jedynie prasę ogólnopolską i ma charakter sprzedażowy – jest prowadzona w formie insertów. Za planowanie i zakup mediów odpowiedzialny jest dom mediowy Havas Media.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2026-11-05T01:17:34+01:00</dcterms:created>
  <dcterms:modified xsi:type="dcterms:W3CDTF">2026-11-05T01:17:34+01:00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